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Pr="008E3CC9" w:rsidRDefault="00D01951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01951" w:rsidRPr="007B1B87" w:rsidRDefault="00D01951" w:rsidP="001565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B87">
        <w:rPr>
          <w:rFonts w:ascii="Times New Roman" w:hAnsi="Times New Roman" w:cs="Times New Roman"/>
          <w:b/>
          <w:sz w:val="24"/>
          <w:szCs w:val="24"/>
        </w:rPr>
        <w:t>Roczny plan pracy z historii dla klasy 4 szkoły podstawowej do programu nauczania „Wczoraj i dziś”</w:t>
      </w:r>
    </w:p>
    <w:p w:rsidR="00D01951" w:rsidRDefault="00D0195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3CC9">
        <w:rPr>
          <w:rFonts w:ascii="Times New Roman" w:hAnsi="Times New Roman" w:cs="Times New Roman"/>
          <w:b/>
          <w:sz w:val="20"/>
          <w:szCs w:val="20"/>
        </w:rPr>
        <w:t>Wymagania na poszczególne oceny</w:t>
      </w:r>
    </w:p>
    <w:p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dbałości o tradycję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56EC" w:rsidRDefault="00DB56EC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56EC" w:rsidRPr="00140C69" w:rsidRDefault="00DB56EC" w:rsidP="00DB56E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>PRZEDMIOTOW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>E ZASADY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u w:val="single"/>
          <w:lang w:eastAsia="pl-PL"/>
        </w:rPr>
        <w:t xml:space="preserve"> OCENIANIA Z HISTORII</w:t>
      </w:r>
    </w:p>
    <w:p w:rsidR="00DB56EC" w:rsidRDefault="00DB56EC" w:rsidP="00DB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Nauczanie historii odbywa się na podstawie programu </w:t>
      </w: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„Wczoraj i dziś” Program nauczania historii w klasach 4-8 szkoły podstawowej”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autorstwa Tomasza Maćkowskiego, zgodnie z obowiązującą podstawą programową.</w:t>
      </w:r>
    </w:p>
    <w:p w:rsidR="00DB56EC" w:rsidRPr="00140C69" w:rsidRDefault="00DB56EC" w:rsidP="00DB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Ocenianiu podlegają osiągnięcia edukacyjne uczniów w następujących obszarach: wiedza i jej stosowanie w praktyce, kształcone umiejętności oraz aktywność i zaangażowanie w praktyce.</w:t>
      </w:r>
    </w:p>
    <w:p w:rsidR="00DB56EC" w:rsidRPr="00140C69" w:rsidRDefault="00DB56EC" w:rsidP="00DB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Ocenianie osiągnięć edukacyjnych uczniów ma służyć monitorowaniu pracy ucznia, rozpoznawaniu poziomu umiejętności i postępów w opanowaniu przez ucznia wiadomości z historii w stosunku do wymagań edukacyjnych wynikających z podstawy programowej i realizowanego programu nauczania oraz formułowaniu oceny.</w:t>
      </w:r>
    </w:p>
    <w:p w:rsidR="00DB56EC" w:rsidRPr="00140C69" w:rsidRDefault="00DB56EC" w:rsidP="00DB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Wymagania edukacyjne dostosowuje się do indywidualnych potrzeb rozwojowych i edukacyjnych oraz możliwości psychofizycznych ucznia:</w:t>
      </w:r>
    </w:p>
    <w:p w:rsidR="00DB56EC" w:rsidRPr="00140C69" w:rsidRDefault="00DB56EC" w:rsidP="00DB56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orzeczenie o potrzebie kształcenia specjalnego,</w:t>
      </w:r>
    </w:p>
    <w:p w:rsidR="00DB56EC" w:rsidRPr="00140C69" w:rsidRDefault="00DB56EC" w:rsidP="00DB56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orzeczenie o potrzebie indywidualnego nauczania,</w:t>
      </w:r>
    </w:p>
    <w:p w:rsidR="00DB56EC" w:rsidRPr="00140C69" w:rsidRDefault="00DB56EC" w:rsidP="00DB56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posiadającego opinię poradni psychologiczno-pedagogicznej, w tym specjalistycznej, o specyficznych trudnościach w uczeniu się,</w:t>
      </w:r>
    </w:p>
    <w:p w:rsidR="00DB56EC" w:rsidRPr="00140C69" w:rsidRDefault="00DB56EC" w:rsidP="00DB56E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i/>
          <w:iCs/>
          <w:color w:val="535A5B"/>
          <w:sz w:val="18"/>
          <w:szCs w:val="18"/>
          <w:lang w:eastAsia="pl-PL"/>
        </w:rPr>
        <w:t>objętego pomocą psychologiczno-pedagogiczną w szkole na podstawie rozpoznania indywidualnych potrzeb rozwojowych i edukacyjnych oraz indywidualnych możliwości psychofizycznych ucznia dokonanego przez nauczycieli i specjalistów w szkole.</w:t>
      </w:r>
    </w:p>
    <w:p w:rsidR="00DB56EC" w:rsidRPr="00140C69" w:rsidRDefault="00DB56EC" w:rsidP="00DB5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 ocenianiu bieżącym stosuje się następujące formy sprawdzania osiągnięć edukacyjnych uczniów: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pisemne:</w:t>
      </w:r>
    </w:p>
    <w:p w:rsidR="00DB56EC" w:rsidRPr="00140C69" w:rsidRDefault="00DB56EC" w:rsidP="00DB56E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sprawdziany (klasówki)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DB56EC" w:rsidRPr="00140C69" w:rsidRDefault="00DB56EC" w:rsidP="00DB56EC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kartkówki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dotyczące materiału z 2 – 3 ostatnich tematów i nie muszą być zapowiadane,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praca i aktywność na lekcji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odpowiedzi ustne,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domowe,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wyniki pracy grupowej,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długoterminowe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projekty, referaty, prezentacje multimedialne, plakaty, wywiady środowiskowe,</w:t>
      </w:r>
    </w:p>
    <w:p w:rsidR="00DB56EC" w:rsidRPr="00140C69" w:rsidRDefault="00DB56EC" w:rsidP="00DB5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aktywność pozalekcyjna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osiągnięcia w konkursach.</w:t>
      </w:r>
    </w:p>
    <w:p w:rsidR="00DB56EC" w:rsidRPr="00140C69" w:rsidRDefault="00DB56EC" w:rsidP="00DB5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Oceny są jawne dla uczniów i ich rodziców (opiekunów prawnych).</w:t>
      </w:r>
    </w:p>
    <w:p w:rsidR="00DB56EC" w:rsidRPr="00140C69" w:rsidRDefault="00DB56EC" w:rsidP="00DB5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Każdą ocenę ucznia wpisuje się do dziennika elektronicznego.</w:t>
      </w:r>
    </w:p>
    <w:p w:rsidR="00DB56EC" w:rsidRPr="00140C69" w:rsidRDefault="00DB56EC" w:rsidP="00DB5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lastRenderedPageBreak/>
        <w:t>Sprawdzone i ocenione prace kontrolne i inne formy pisemnego sprawdzania wiadomości i umiejętności uczniów przedstawiane są do wglądu uczniom na zajęciach dydaktycznych.</w:t>
      </w:r>
    </w:p>
    <w:p w:rsidR="00DB56EC" w:rsidRPr="00140C69" w:rsidRDefault="00DB56EC" w:rsidP="00DB56EC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Rodzice (prawni opiekunowie) mają możliwość wglądu w pisemne prace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swoich dzieci:</w:t>
      </w:r>
    </w:p>
    <w:p w:rsidR="00DB56EC" w:rsidRPr="00140C69" w:rsidRDefault="00DB56EC" w:rsidP="00DB56EC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bezpośrednio po sprawdzeniu pracy pisemnej (prace przekazane przez uczniów do wglądu),</w:t>
      </w:r>
    </w:p>
    <w:p w:rsidR="00DB56EC" w:rsidRPr="00140C69" w:rsidRDefault="00DB56EC" w:rsidP="00DB56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 najbliższym po sprawdzianie dyżurze, w czasie indywidualnych spotkań z nauczycielem przedmiotu,</w:t>
      </w:r>
    </w:p>
    <w:p w:rsidR="00DB56EC" w:rsidRPr="00140C69" w:rsidRDefault="00DB56EC" w:rsidP="00DB56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 zebraniach ogólnych,</w:t>
      </w:r>
    </w:p>
    <w:p w:rsidR="00DB56EC" w:rsidRPr="00140C69" w:rsidRDefault="00DB56EC" w:rsidP="00DB56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 czasie dni otwartych.</w:t>
      </w:r>
    </w:p>
    <w:p w:rsidR="00DB56EC" w:rsidRPr="00140C69" w:rsidRDefault="00DB56EC" w:rsidP="00DB56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Uczniowie i ich rodzice są na bieżąco informowani o postępach edukacyjnych, </w:t>
      </w:r>
      <w:proofErr w:type="spellStart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poprzezwpisy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do dziennika elektronicznego.</w:t>
      </w:r>
    </w:p>
    <w:p w:rsidR="00DB56EC" w:rsidRPr="00140C69" w:rsidRDefault="00DB56EC" w:rsidP="00DB56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Nauczyciel uzasadnia każdą bieżącą ocenę szkolną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</w:t>
      </w:r>
    </w:p>
    <w:p w:rsidR="00DB56EC" w:rsidRPr="00140C69" w:rsidRDefault="00DB56EC" w:rsidP="00DB56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oceny z ustnych form sprawdzania wiedzy i umiejętności oraz z kartkówek nauczyciel uzasadnia ustnie w obecności klasy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wskazując dobrze opanowaną wiedzę lub sprawdzaną umiejętność, braki w nich oraz przekazuje zalecenia do uzupełnienia braków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.</w:t>
      </w:r>
    </w:p>
    <w:p w:rsidR="00DB56EC" w:rsidRPr="00140C69" w:rsidRDefault="00DB56EC" w:rsidP="00DB56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wszystkie oceny ze sprawdzianów uzasadniane są przez nauczyciela ustnie lub pisemnie w formie dołączonego komentarza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.</w:t>
      </w:r>
    </w:p>
    <w:p w:rsidR="00DB56EC" w:rsidRPr="00140C69" w:rsidRDefault="00DB56EC" w:rsidP="00DB56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Dopuszcza się stosowanie skrótu w dzienniku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: np. – nieprzygotowany, nb. – nieobecny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.</w:t>
      </w:r>
    </w:p>
    <w:p w:rsidR="00DB56EC" w:rsidRPr="00140C69" w:rsidRDefault="00DB56EC" w:rsidP="00DB56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Obowiązują następujące zasady przeprowadzania prac pisemnych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ustala termin sprawdzianu z tygodniowym wyprzedzeniem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sprawdzian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poprzedza powtórzenie 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i utrwalenie wiadomości,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sprawdzian zwykle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będzie trwał 1 godzinę lekcyjną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a kartkówka do 20 minut,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 ma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14 dni na sprawdzenie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 ocenę i recenzję sprawdzianu,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nauczyciel omawia i poprawia błędy uczniów na sprawdzianie wspólnie z uczniami na zajęciach edukacyjnych, a ocenę wpisuje do dziennika elektronicznego,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jeżeli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uczeń nie pisał sprawdzianu, musi wykazać się wiadomościami i </w:t>
      </w:r>
      <w:proofErr w:type="spellStart"/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umiejętnościami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zawartymi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na sprawdzianie w formie ustalonej z nauczycielem,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uczeń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może poprawić raz 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niedostateczną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ocenę z prac pisemnych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: ze sprawdzianów i kartkówek z trzech tematów,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poprawa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powinna odbyć się w ciągu dwóch </w:t>
      </w:r>
      <w:proofErr w:type="spellStart"/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tygodni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od</w:t>
      </w:r>
      <w:proofErr w:type="spellEnd"/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oddania i omówienia pracy w terminie ustalonym wspólnie z nauczycielem,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ocena 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otrzymana za poprawianą pracę pisemną wpisana jest jako kolejna do dziennika, do wystawienia oceny na semestr obie są równorzędne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uczeń nie może poprawiać ocen z kartkówek z jednego tematu lekcji, odpowiedzi ustnych oraz z innych form oceniania ucznia,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prace pisemne przechowuje nauczyciel przedmiotu do końca zajęć edukacyjnych w danym roku szkolnym</w:t>
      </w: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.</w:t>
      </w:r>
    </w:p>
    <w:p w:rsidR="00DB56EC" w:rsidRPr="00140C69" w:rsidRDefault="00DB56EC" w:rsidP="00DB56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Przy ocenianiu prac pisemnych nauczyciel stosuje następujące zasady przeliczania punktów na ocenę: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poniżej 30% możliwych do uzyskania punktów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niedostateczny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30%-49%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dopuszczający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50%-74%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dostateczny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75%-89%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dobry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90%- 95%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bardzo dobry</w:t>
      </w:r>
    </w:p>
    <w:p w:rsidR="00DB56EC" w:rsidRPr="00140C69" w:rsidRDefault="00DB56EC" w:rsidP="00DB56E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96%-100% – </w:t>
      </w:r>
      <w:r w:rsidRPr="00140C69">
        <w:rPr>
          <w:rFonts w:ascii="Tahoma" w:eastAsia="Times New Roman" w:hAnsi="Tahoma" w:cs="Tahoma"/>
          <w:b/>
          <w:bCs/>
          <w:i/>
          <w:iCs/>
          <w:color w:val="535A5B"/>
          <w:sz w:val="18"/>
          <w:szCs w:val="18"/>
          <w:lang w:eastAsia="pl-PL"/>
        </w:rPr>
        <w:t>celujący.</w:t>
      </w:r>
    </w:p>
    <w:p w:rsidR="00DB56EC" w:rsidRPr="00140C69" w:rsidRDefault="00DB56EC" w:rsidP="00DB56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Uczeń ma prawo 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jeden raz</w:t>
      </w:r>
      <w:r w:rsidRPr="00140C69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w ciągu semestru zgłosić nieprzygotowanie do lekcji bez negatywnych skutków. Zgłoszenie musi odbyć się przed rozpoczęciem lekcji. Nauczyciel odnotowuje ten fakt w dzienniku lekcyjnym wpisując datę zaistnienia zdarzenia.  Jeżeli uczeń nie zgłosi nieprzygotowania lub braku pracy domowej, zaś nauczyciel to sprawdzi – uczeń automatycznie otrzymuje ocenę niedostateczną.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lastRenderedPageBreak/>
        <w:t xml:space="preserve">Należy dostosować wymagania edukacyjne oraz formy i metody pracy w stosunku do ucznia, u którego stwierdzono specyficzne trudności w uczeniu się lub deficyty rozwojowe w zależności od indywidualnych potrzeb, oraz zaleceń poradni zawartych w orzeczeniu lub opinii. 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Klasyfikowanie śródroczne przeprowadza się na koniec I okresu, a roczne na koniec zajęć edukacyjnych w danej klasie.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Ocena wystawiana na koniec drugiego okresu jest oceną roczną, uwzględniającą osiągnięcia ucznia z obu okresów.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Ocena semestralna wynika z ocen bieżących, ale nie jest średnią arytmetyczną ocen cząstkowych.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Oceny klasyfikacyjne z przedmiotu ustala nauczyciel prowadzący zajęcia edukacyjne w klasie na podstawie systematycznej oceny pracy uczniów z uwzględnieniem ocen bieżących.</w:t>
      </w:r>
    </w:p>
    <w:p w:rsidR="00DB56EC" w:rsidRPr="00140C69" w:rsidRDefault="00DB56EC" w:rsidP="00DB56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Szkolne wyniki klasyfikacji (śródrocznej i rocznej) zatwierdza Rada Pedagogiczna.</w:t>
      </w:r>
    </w:p>
    <w:p w:rsidR="00DB56EC" w:rsidRPr="00140C69" w:rsidRDefault="00DB56EC" w:rsidP="00DB56E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DB56EC" w:rsidRDefault="00DB56EC" w:rsidP="00DB56EC"/>
    <w:p w:rsidR="00DB56EC" w:rsidRPr="008E3CC9" w:rsidRDefault="00DB56EC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B56EC" w:rsidRPr="008E3CC9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DE" w:rsidRDefault="00F124DE" w:rsidP="007B1B87">
      <w:pPr>
        <w:spacing w:after="0" w:line="240" w:lineRule="auto"/>
      </w:pPr>
      <w:r>
        <w:separator/>
      </w:r>
    </w:p>
  </w:endnote>
  <w:endnote w:type="continuationSeparator" w:id="0">
    <w:p w:rsidR="00F124DE" w:rsidRDefault="00F124D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9147E5" w:rsidRDefault="0093785D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DB56EC">
          <w:rPr>
            <w:noProof/>
          </w:rPr>
          <w:t>16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DE" w:rsidRDefault="00F124DE" w:rsidP="007B1B87">
      <w:pPr>
        <w:spacing w:after="0" w:line="240" w:lineRule="auto"/>
      </w:pPr>
      <w:r>
        <w:separator/>
      </w:r>
    </w:p>
  </w:footnote>
  <w:footnote w:type="continuationSeparator" w:id="0">
    <w:p w:rsidR="00F124DE" w:rsidRDefault="00F124DE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5" w:rsidRDefault="00914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509"/>
    <w:multiLevelType w:val="multilevel"/>
    <w:tmpl w:val="881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34C25"/>
    <w:multiLevelType w:val="multilevel"/>
    <w:tmpl w:val="EA1A68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6229F"/>
    <w:multiLevelType w:val="multilevel"/>
    <w:tmpl w:val="AA841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F5AE4"/>
    <w:multiLevelType w:val="multilevel"/>
    <w:tmpl w:val="3E2C9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51682"/>
    <w:multiLevelType w:val="multilevel"/>
    <w:tmpl w:val="407EB5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F63CF"/>
    <w:multiLevelType w:val="multilevel"/>
    <w:tmpl w:val="B14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C7726D"/>
    <w:multiLevelType w:val="multilevel"/>
    <w:tmpl w:val="5A64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66AAE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3785D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AE4898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B56EC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124DE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23D1-28CB-44C4-A5B9-78685F0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5557</Words>
  <Characters>33347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celina pacholarz</cp:lastModifiedBy>
  <cp:revision>3</cp:revision>
  <cp:lastPrinted>2017-09-06T11:26:00Z</cp:lastPrinted>
  <dcterms:created xsi:type="dcterms:W3CDTF">2019-10-21T17:18:00Z</dcterms:created>
  <dcterms:modified xsi:type="dcterms:W3CDTF">2021-09-27T09:43:00Z</dcterms:modified>
</cp:coreProperties>
</file>